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default" w:eastAsiaTheme="minorEastAsia"/>
          <w:b w:val="0"/>
          <w:bCs w:val="0"/>
          <w:sz w:val="28"/>
          <w:szCs w:val="28"/>
          <w:lang w:val="en-US" w:eastAsia="zh-CN"/>
        </w:rPr>
      </w:pPr>
      <w:r>
        <w:rPr>
          <w:rFonts w:hint="eastAsia"/>
          <w:b w:val="0"/>
          <w:bCs w:val="0"/>
          <w:sz w:val="28"/>
          <w:szCs w:val="28"/>
          <w:lang w:val="en-US" w:eastAsia="zh-CN"/>
        </w:rPr>
        <w:t>附件4</w:t>
      </w:r>
    </w:p>
    <w:p>
      <w:pPr>
        <w:pStyle w:val="2"/>
        <w:jc w:val="center"/>
      </w:pPr>
      <w:r>
        <w:rPr>
          <w:rFonts w:hint="eastAsia"/>
        </w:rPr>
        <w:t>广西万邕投资集团有限公司简介</w:t>
      </w:r>
    </w:p>
    <w:p>
      <w:pPr>
        <w:ind w:firstLine="560" w:firstLineChars="200"/>
      </w:pPr>
      <w:r>
        <w:rPr>
          <w:rFonts w:hint="eastAsia"/>
        </w:rPr>
        <w:t>广西万邕投资集团有限公司（以下简称“万邕集团”）成立于2001年10月，注册资本人民币壹亿零伍佰万元，业务涵盖电力工程勘察设计、监理咨询和工程施工；电力设备生产制造、维护；房地产开发及物业管理；新能源产业投资及生态科技农业开发五大业务板块，以电力建设为主多元化发展的集团型企业。万邕集团现拥有：广西建宁输变电工程有限公司、广西南宁国恒供电开发有限责任公司、广西品鑫电气设备维护有限责任公司、广西绿能电力勘察设计有限公司、广西万信工程咨询有限责任公司、南宁耀天电力科技有限公司及南宁宇能物业服务有限责任公司等</w:t>
      </w:r>
      <w:r>
        <w:rPr>
          <w:rFonts w:hint="eastAsia"/>
          <w:lang w:val="en-US" w:eastAsia="zh-CN"/>
        </w:rPr>
        <w:t>7</w:t>
      </w:r>
      <w:r>
        <w:rPr>
          <w:rFonts w:hint="eastAsia"/>
        </w:rPr>
        <w:t>家所属单位，员工共计2</w:t>
      </w:r>
      <w:r>
        <w:rPr>
          <w:rFonts w:hint="eastAsia"/>
          <w:lang w:val="en-US" w:eastAsia="zh-CN"/>
        </w:rPr>
        <w:t>35</w:t>
      </w:r>
      <w:r>
        <w:rPr>
          <w:rFonts w:hint="eastAsia"/>
        </w:rPr>
        <w:t>0余人。</w:t>
      </w:r>
    </w:p>
    <w:p>
      <w:pPr>
        <w:ind w:firstLine="560" w:firstLineChars="200"/>
      </w:pPr>
      <w:r>
        <w:rPr>
          <w:rFonts w:hint="eastAsia"/>
        </w:rPr>
        <w:t>自成立以来，万邕集团凭借自身不断努力，立足于广西电网项目建设，参与国内外市场竞争，取得了辉煌的成绩，为地方经济快速发展做出了应有贡献。拥有卓越项目管理能力和先进技术理念，建造了系列精品工程，累计完成了国外230千伏输电线路项目约180公里、国内变电站项目约260座、输电线路项目约9000多公里。北海～美林500kV线路工程获得2019年中国电力优质工程、500kV北海变电站工程获得2019年广西建设工程“真武阁杯”奖（最高质量奖）, 220kV多吉变电站工程等3项工程建设项目荣获</w:t>
      </w:r>
      <w:r>
        <w:rPr>
          <w:rFonts w:hint="eastAsia" w:cs="宋体" w:asciiTheme="minorEastAsia" w:hAnsiTheme="minorEastAsia"/>
          <w:szCs w:val="21"/>
        </w:rPr>
        <w:t>中国电力优质工程奖；220kV排岭变电站工程荣获广西变电类工程“中国安装之星”；</w:t>
      </w:r>
      <w:r>
        <w:rPr>
          <w:rFonts w:hint="eastAsia"/>
        </w:rPr>
        <w:t>18项工程建设项目荣获</w:t>
      </w:r>
      <w:r>
        <w:rPr>
          <w:rFonts w:hint="eastAsia" w:cs="宋体" w:asciiTheme="minorEastAsia" w:hAnsiTheme="minorEastAsia"/>
          <w:szCs w:val="21"/>
        </w:rPr>
        <w:t>中国南方电网优质工程奖；40项</w:t>
      </w:r>
      <w:r>
        <w:rPr>
          <w:rFonts w:hint="eastAsia"/>
        </w:rPr>
        <w:t>工程建设项目荣获</w:t>
      </w:r>
      <w:r>
        <w:rPr>
          <w:rFonts w:hint="eastAsia" w:cs="宋体" w:asciiTheme="minorEastAsia" w:hAnsiTheme="minorEastAsia"/>
          <w:szCs w:val="21"/>
        </w:rPr>
        <w:t>广西电力建设企业协会、广西住房和城乡建设厅及广西电网公司颁发的广西优质工程奖。</w:t>
      </w:r>
      <w:r>
        <w:rPr>
          <w:rFonts w:hint="eastAsia"/>
        </w:rPr>
        <w:t>设计水平行业领先，万邕集团作为南方电网公司10千伏及35千伏配网标准设计起草编制成员之一，完成了100多项变电站及配套线路的重点工程设计项目，其中“南宁市新能源汽车基础设施规划”等高新领域规划编制获得了业主的高度评价。积极打造多元化管理平台，提升平台技术含金量，投资开发了6个房地产项目，累计建筑面积50多万平方米；拥有10项节能技术研发专利等，业务版图已遍布国内各省市以及柬埔寨、越南等东南亚国家；自主生产的（氯化聚氯乙烯）CPVC电缆护套管、（改性聚丙烯）MPP电缆护套管荣获广西名牌产品，绿色环保首选品牌，中国环保首选品牌，中国节能首选品牌等多项殊荣。</w:t>
      </w:r>
    </w:p>
    <w:p>
      <w:pPr>
        <w:ind w:firstLine="560" w:firstLineChars="200"/>
      </w:pPr>
      <w:r>
        <w:rPr>
          <w:rFonts w:hint="eastAsia"/>
        </w:rPr>
        <w:t>“来源于社会，回馈于社会，服务于社会”，万邕集团怀有一颗感恩社会的心，在2005年海南特大洪涝灾害、2008年南方地区的雨雪冰冻灾害、2010-2018年期间广西、海南多次遭受超强台风等重大自然灾害面前，我们迅速响应，成立抢险突击队，胜利完成了电网复电任务，恢复了当地人民群众生产生活用电；配合南宁供电局成功完成了2010年广州第16届亚运会、历届广西南宁民歌节保供电任务，得到了社会和群众的认可，赢得了政府以及社会各界的高度赞誉。</w:t>
      </w:r>
    </w:p>
    <w:p>
      <w:pPr>
        <w:ind w:firstLine="560" w:firstLineChars="200"/>
      </w:pPr>
      <w:r>
        <w:rPr>
          <w:rFonts w:hint="eastAsia"/>
        </w:rPr>
        <w:t>万邕集团一直秉承“万众一心、勇往直前”的企业精神，始终恪守“诚信守法、争创效益”的经营理念，时刻牢记“重信兴利、共赢发展”的企业宗旨，积极践行“精诚、品质、创新”的核心价值观，继续围绕电力发展，在新能源等领域加大建设力量，努力实现企业和股东双赢，为实现社会的美好繁荣，为实现中华民族伟大复兴“中国梦”而努力奋斗。</w:t>
      </w:r>
    </w:p>
    <w:p>
      <w:pPr>
        <w:ind w:firstLine="560" w:firstLineChars="200"/>
      </w:pP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窗体顶端</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窗体顶端</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窗体顶端</w:t>
      </w:r>
    </w:p>
    <w:p>
      <w:pPr>
        <w:pStyle w:val="15"/>
        <w:rPr>
          <w:rFonts w:asciiTheme="minorEastAsia" w:hAnsiTheme="minorEastAsia" w:eastAsiaTheme="minorEastAsia"/>
          <w:b/>
          <w:sz w:val="32"/>
          <w:szCs w:val="32"/>
        </w:rPr>
      </w:pPr>
      <w:r>
        <w:rPr>
          <w:rFonts w:hint="eastAsia" w:asciiTheme="minorEastAsia" w:hAnsiTheme="minorEastAsia" w:eastAsiaTheme="minorEastAsia"/>
          <w:b/>
          <w:sz w:val="32"/>
          <w:szCs w:val="32"/>
        </w:rPr>
        <w:t>窗体底端</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窗体顶端</w:t>
      </w:r>
    </w:p>
    <w:p>
      <w:pPr>
        <w:rPr>
          <w:rFonts w:hint="eastAsia" w:cs="方正小标宋_GBK" w:asciiTheme="minorEastAsia" w:hAnsiTheme="minorEastAsia"/>
          <w:bCs w:val="0"/>
          <w:szCs w:val="32"/>
        </w:rPr>
      </w:pPr>
      <w:r>
        <w:rPr>
          <w:rFonts w:hint="eastAsia" w:cs="方正小标宋_GBK" w:asciiTheme="minorEastAsia" w:hAnsiTheme="minorEastAsia"/>
          <w:bCs w:val="0"/>
          <w:szCs w:val="32"/>
        </w:rPr>
        <w:br w:type="page"/>
      </w:r>
    </w:p>
    <w:p>
      <w:pPr>
        <w:rPr>
          <w:rFonts w:hint="eastAsia" w:cs="方正小标宋_GBK" w:asciiTheme="minorEastAsia" w:hAnsiTheme="minorEastAsia"/>
          <w:bCs w:val="0"/>
          <w:szCs w:val="32"/>
        </w:rPr>
      </w:pPr>
    </w:p>
    <w:p>
      <w:pPr>
        <w:pStyle w:val="2"/>
        <w:widowControl/>
        <w:spacing w:before="120" w:after="0" w:line="240" w:lineRule="auto"/>
        <w:jc w:val="center"/>
        <w:rPr>
          <w:rFonts w:cs="方正小标宋_GBK" w:asciiTheme="minorEastAsia" w:hAnsiTheme="minorEastAsia"/>
          <w:szCs w:val="32"/>
        </w:rPr>
      </w:pPr>
      <w:r>
        <w:rPr>
          <w:rFonts w:hint="eastAsia" w:cs="方正小标宋_GBK" w:asciiTheme="minorEastAsia" w:hAnsiTheme="minorEastAsia"/>
          <w:bCs w:val="0"/>
          <w:szCs w:val="32"/>
        </w:rPr>
        <w:t>广西绿能电力勘察设计有限公司简介</w:t>
      </w:r>
    </w:p>
    <w:p>
      <w:pPr>
        <w:widowControl/>
        <w:spacing w:before="120"/>
        <w:rPr>
          <w:rFonts w:ascii="Tahoma" w:hAnsi="Tahoma" w:eastAsia="Tahoma" w:cs="Tahoma"/>
          <w:sz w:val="14"/>
          <w:szCs w:val="14"/>
        </w:rPr>
      </w:pPr>
    </w:p>
    <w:p>
      <w:pPr>
        <w:widowControl/>
        <w:spacing w:before="120"/>
        <w:ind w:firstLine="640"/>
        <w:rPr>
          <w:rFonts w:cs="仿宋_GB2312" w:asciiTheme="minorEastAsia" w:hAnsiTheme="minorEastAsia"/>
          <w:szCs w:val="28"/>
        </w:rPr>
      </w:pPr>
      <w:r>
        <w:rPr>
          <w:rFonts w:hint="eastAsia" w:asciiTheme="minorEastAsia" w:hAnsiTheme="minorEastAsia"/>
          <w:szCs w:val="28"/>
        </w:rPr>
        <w:t>广西绿能电力勘察设计有限公司前身为1979年成立的南宁供电局设计室，专业从事电力工程设计及管理40年。公司注册资本人民币贰仟万元，具备送变电设计乙级、新能源发电设计乙级、建筑设计丙级、工程勘察乙级、工程咨询乙级资质、工程造价乙级资质、测绘资质丙级等资质。公司现有员工203人，本科及以上学历164人，中高级专业技术资格105人，注册电气工程师等专业类别执业资格持证员工14人。公司为国家级高新技术企业，中国南方电网配电网设计标准制定企业，承接广西电网重大建设、规划项目骨干设计企业，广西区内首家新能源发电投产项目设计企业，近三年来，“南宁轨道交通3号线配套110kV荔园变电站设计”、“220kV龙象送变电工程可行性研究报告”、等20余项工程荣获国家优质工程、中国南方电网、自治区发改委、自治区住建厅颁发的省市级优秀（优质）工程奖。</w:t>
      </w:r>
      <w:bookmarkStart w:id="0" w:name="_GoBack"/>
      <w:bookmarkEnd w:id="0"/>
    </w:p>
    <w:p>
      <w:pPr>
        <w:rPr>
          <w:rFonts w:cs="仿宋_GB2312" w:asciiTheme="minorEastAsia" w:hAnsiTheme="minorEastAsia"/>
          <w:kern w:val="0"/>
          <w:szCs w:val="28"/>
        </w:rPr>
      </w:pPr>
      <w:r>
        <w:rPr>
          <w:rFonts w:cs="仿宋_GB2312" w:asciiTheme="minorEastAsia" w:hAnsiTheme="minorEastAsia"/>
          <w:kern w:val="0"/>
          <w:szCs w:val="28"/>
        </w:rPr>
        <w:br w:type="page"/>
      </w:r>
    </w:p>
    <w:p>
      <w:pPr>
        <w:widowControl/>
        <w:spacing w:before="120"/>
        <w:ind w:firstLine="560" w:firstLineChars="200"/>
        <w:rPr>
          <w:rFonts w:cs="仿宋_GB2312" w:asciiTheme="minorEastAsia" w:hAnsiTheme="minorEastAsia"/>
          <w:kern w:val="0"/>
          <w:szCs w:val="28"/>
        </w:rPr>
      </w:pPr>
    </w:p>
    <w:p>
      <w:pPr>
        <w:pStyle w:val="2"/>
        <w:widowControl/>
        <w:spacing w:before="120" w:after="0" w:line="240" w:lineRule="auto"/>
        <w:jc w:val="center"/>
        <w:rPr>
          <w:rFonts w:cs="方正小标宋_GBK" w:asciiTheme="minorEastAsia" w:hAnsiTheme="minorEastAsia"/>
          <w:bCs w:val="0"/>
          <w:szCs w:val="32"/>
        </w:rPr>
      </w:pPr>
      <w:r>
        <w:rPr>
          <w:rFonts w:hint="eastAsia" w:cs="方正小标宋_GBK" w:asciiTheme="minorEastAsia" w:hAnsiTheme="minorEastAsia"/>
          <w:bCs w:val="0"/>
          <w:szCs w:val="32"/>
        </w:rPr>
        <w:t>广西万信工程咨询有限责任公司简介</w:t>
      </w:r>
    </w:p>
    <w:p>
      <w:pPr>
        <w:widowControl/>
        <w:spacing w:before="120"/>
        <w:ind w:firstLine="560" w:firstLineChars="200"/>
        <w:rPr>
          <w:rFonts w:cs="仿宋_GB2312" w:asciiTheme="minorEastAsia" w:hAnsiTheme="minorEastAsia"/>
          <w:kern w:val="0"/>
          <w:szCs w:val="28"/>
        </w:rPr>
      </w:pPr>
    </w:p>
    <w:p>
      <w:pPr>
        <w:ind w:firstLine="560" w:firstLineChars="200"/>
        <w:rPr>
          <w:rFonts w:hint="eastAsia"/>
        </w:rPr>
      </w:pPr>
      <w:r>
        <w:rPr>
          <w:rFonts w:hint="eastAsia"/>
        </w:rPr>
        <w:t>广西万信工程咨询有限责任公司成立于2013年，注册资本人民币壹仟万元。公司的主要经营范围包括:电力工程设计（送电工程、变电工程）专业乙级（可从事资质证书许可范围内相应的建设工程总承包业务以及项目管理和相关的技术与管理服务）、新能源发电设计、建筑工程设计、电力工程监理乙级、市政工程监理乙级、房屋建筑工程监理、电力工程勘察、电力工程咨询、电力工程造价咨询,是一家具备220kV及以下电力工程设计、监理、造价咨询、电力工程总承包等综合业务的新兴企业。现有员工146人，本科及以上学历56人，中高级专业技术资格近47人，注册电气工程师等专业类别执业资格持证员工18人。主要提供有关电力行业、新能源行业的各类技术咨询服务和并网接入解决方案及电力工程、市政公用工程项目的监理业务。公司获得了ISO9001:2015质量管理体系认证证书、ISO14001：2015环境管理体系认证证书、OHSAS18001：2007职业健康安全管理体系认证证书。为广西勘察设计协会会员单位、广西建设监理协会会员单位、广西工程咨询协会会员单位。</w:t>
      </w:r>
    </w:p>
    <w:p>
      <w:pPr>
        <w:widowControl/>
        <w:spacing w:before="120"/>
        <w:ind w:firstLine="641"/>
        <w:rPr>
          <w:rFonts w:cs="仿宋_GB2312" w:asciiTheme="minorEastAsia" w:hAnsiTheme="minorEastAsia"/>
          <w:kern w:val="0"/>
          <w:szCs w:val="28"/>
        </w:rPr>
      </w:pPr>
    </w:p>
    <w:p>
      <w:pPr>
        <w:rPr>
          <w:rFonts w:asciiTheme="minorEastAsia" w:hAnsiTheme="minorEastAsia"/>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05E1"/>
    <w:rsid w:val="00017A7B"/>
    <w:rsid w:val="00044ED6"/>
    <w:rsid w:val="00062BDB"/>
    <w:rsid w:val="00065523"/>
    <w:rsid w:val="00086BAF"/>
    <w:rsid w:val="000A174C"/>
    <w:rsid w:val="000A248F"/>
    <w:rsid w:val="000F4B99"/>
    <w:rsid w:val="001179C4"/>
    <w:rsid w:val="00122CA0"/>
    <w:rsid w:val="00135942"/>
    <w:rsid w:val="001419D6"/>
    <w:rsid w:val="00162FCB"/>
    <w:rsid w:val="00174648"/>
    <w:rsid w:val="00195DCD"/>
    <w:rsid w:val="001C3C69"/>
    <w:rsid w:val="001F5573"/>
    <w:rsid w:val="002211CA"/>
    <w:rsid w:val="002E2920"/>
    <w:rsid w:val="002F2260"/>
    <w:rsid w:val="00305666"/>
    <w:rsid w:val="003446F5"/>
    <w:rsid w:val="00363F17"/>
    <w:rsid w:val="0038754C"/>
    <w:rsid w:val="00397C38"/>
    <w:rsid w:val="003A5531"/>
    <w:rsid w:val="003A653E"/>
    <w:rsid w:val="003B7459"/>
    <w:rsid w:val="003D3FAF"/>
    <w:rsid w:val="003E6CF9"/>
    <w:rsid w:val="003E747F"/>
    <w:rsid w:val="003F4080"/>
    <w:rsid w:val="0042777C"/>
    <w:rsid w:val="00427E9D"/>
    <w:rsid w:val="00451DF3"/>
    <w:rsid w:val="00464F4F"/>
    <w:rsid w:val="00486311"/>
    <w:rsid w:val="00493E1B"/>
    <w:rsid w:val="004B6040"/>
    <w:rsid w:val="004C2459"/>
    <w:rsid w:val="00511CC4"/>
    <w:rsid w:val="00541873"/>
    <w:rsid w:val="00562926"/>
    <w:rsid w:val="00571C65"/>
    <w:rsid w:val="005A20EA"/>
    <w:rsid w:val="005B2506"/>
    <w:rsid w:val="005B338D"/>
    <w:rsid w:val="005D0E42"/>
    <w:rsid w:val="00603A78"/>
    <w:rsid w:val="0060725A"/>
    <w:rsid w:val="00621E87"/>
    <w:rsid w:val="00640A73"/>
    <w:rsid w:val="006A2215"/>
    <w:rsid w:val="006B391A"/>
    <w:rsid w:val="006D2BBA"/>
    <w:rsid w:val="00715B66"/>
    <w:rsid w:val="007171F6"/>
    <w:rsid w:val="00732542"/>
    <w:rsid w:val="00742778"/>
    <w:rsid w:val="00764C96"/>
    <w:rsid w:val="007C18C7"/>
    <w:rsid w:val="007E03B5"/>
    <w:rsid w:val="007E35E2"/>
    <w:rsid w:val="007E4DD5"/>
    <w:rsid w:val="007F5A73"/>
    <w:rsid w:val="008042BC"/>
    <w:rsid w:val="00815871"/>
    <w:rsid w:val="008229B4"/>
    <w:rsid w:val="00881174"/>
    <w:rsid w:val="0089412A"/>
    <w:rsid w:val="008B28E9"/>
    <w:rsid w:val="008D641A"/>
    <w:rsid w:val="008D6B6F"/>
    <w:rsid w:val="008F3A4C"/>
    <w:rsid w:val="008F666E"/>
    <w:rsid w:val="008F7169"/>
    <w:rsid w:val="00906C78"/>
    <w:rsid w:val="00912515"/>
    <w:rsid w:val="009410CD"/>
    <w:rsid w:val="00943A7F"/>
    <w:rsid w:val="0097783B"/>
    <w:rsid w:val="00990E79"/>
    <w:rsid w:val="00991D92"/>
    <w:rsid w:val="00995AA8"/>
    <w:rsid w:val="00996DB6"/>
    <w:rsid w:val="009D0028"/>
    <w:rsid w:val="009D2413"/>
    <w:rsid w:val="009E30E5"/>
    <w:rsid w:val="009E4CED"/>
    <w:rsid w:val="009F5406"/>
    <w:rsid w:val="00A0249E"/>
    <w:rsid w:val="00A13FA6"/>
    <w:rsid w:val="00A140A6"/>
    <w:rsid w:val="00A80FEC"/>
    <w:rsid w:val="00AA2955"/>
    <w:rsid w:val="00AA6ACC"/>
    <w:rsid w:val="00AB75B7"/>
    <w:rsid w:val="00AC4678"/>
    <w:rsid w:val="00AE2D02"/>
    <w:rsid w:val="00AE42BB"/>
    <w:rsid w:val="00AF53AB"/>
    <w:rsid w:val="00B01CA3"/>
    <w:rsid w:val="00B17B47"/>
    <w:rsid w:val="00B96C1A"/>
    <w:rsid w:val="00BA7ED7"/>
    <w:rsid w:val="00BF6EBA"/>
    <w:rsid w:val="00C04BBF"/>
    <w:rsid w:val="00C05DD9"/>
    <w:rsid w:val="00C176C5"/>
    <w:rsid w:val="00C46B6F"/>
    <w:rsid w:val="00C54F2C"/>
    <w:rsid w:val="00C87B81"/>
    <w:rsid w:val="00CB2F69"/>
    <w:rsid w:val="00CD4767"/>
    <w:rsid w:val="00CD763E"/>
    <w:rsid w:val="00CF2A58"/>
    <w:rsid w:val="00CF7485"/>
    <w:rsid w:val="00D0352D"/>
    <w:rsid w:val="00D046E9"/>
    <w:rsid w:val="00D3443F"/>
    <w:rsid w:val="00D34E46"/>
    <w:rsid w:val="00D65943"/>
    <w:rsid w:val="00D82EE7"/>
    <w:rsid w:val="00D83C56"/>
    <w:rsid w:val="00D91A16"/>
    <w:rsid w:val="00DA149B"/>
    <w:rsid w:val="00DA2EDB"/>
    <w:rsid w:val="00DA63F8"/>
    <w:rsid w:val="00DC63D0"/>
    <w:rsid w:val="00DD5261"/>
    <w:rsid w:val="00DE1DF8"/>
    <w:rsid w:val="00DF37C2"/>
    <w:rsid w:val="00E065DF"/>
    <w:rsid w:val="00E43A6C"/>
    <w:rsid w:val="00E56661"/>
    <w:rsid w:val="00EF45FB"/>
    <w:rsid w:val="00F0519B"/>
    <w:rsid w:val="00F475D3"/>
    <w:rsid w:val="00F505E1"/>
    <w:rsid w:val="00F91919"/>
    <w:rsid w:val="00FC5C6B"/>
    <w:rsid w:val="00FD1D75"/>
    <w:rsid w:val="00FD4536"/>
    <w:rsid w:val="00FF2926"/>
    <w:rsid w:val="04761502"/>
    <w:rsid w:val="2E29243A"/>
    <w:rsid w:val="54E804B1"/>
    <w:rsid w:val="72094C2A"/>
    <w:rsid w:val="7DF45AF7"/>
    <w:rsid w:val="7E306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32"/>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标题 1 Char"/>
    <w:basedOn w:val="7"/>
    <w:link w:val="2"/>
    <w:qFormat/>
    <w:uiPriority w:val="9"/>
    <w:rPr>
      <w:b/>
      <w:bCs/>
      <w:kern w:val="44"/>
      <w:sz w:val="32"/>
      <w:szCs w:val="44"/>
    </w:rPr>
  </w:style>
  <w:style w:type="character" w:customStyle="1" w:styleId="10">
    <w:name w:val="页眉 Char"/>
    <w:basedOn w:val="7"/>
    <w:link w:val="5"/>
    <w:semiHidden/>
    <w:uiPriority w:val="99"/>
    <w:rPr>
      <w:sz w:val="18"/>
      <w:szCs w:val="18"/>
    </w:rPr>
  </w:style>
  <w:style w:type="character" w:customStyle="1" w:styleId="11">
    <w:name w:val="页脚 Char"/>
    <w:basedOn w:val="7"/>
    <w:link w:val="4"/>
    <w:semiHidden/>
    <w:uiPriority w:val="99"/>
    <w:rPr>
      <w:sz w:val="18"/>
      <w:szCs w:val="18"/>
    </w:rPr>
  </w:style>
  <w:style w:type="character" w:customStyle="1" w:styleId="12">
    <w:name w:val="批注框文本 Char"/>
    <w:basedOn w:val="7"/>
    <w:link w:val="3"/>
    <w:semiHidden/>
    <w:qFormat/>
    <w:uiPriority w:val="99"/>
    <w:rPr>
      <w:sz w:val="18"/>
      <w:szCs w:val="18"/>
    </w:rPr>
  </w:style>
  <w:style w:type="paragraph" w:customStyle="1" w:styleId="13">
    <w:name w:val="HTML Top of Form"/>
    <w:basedOn w:val="1"/>
    <w:next w:val="1"/>
    <w:link w:val="14"/>
    <w:semiHidden/>
    <w:unhideWhenUsed/>
    <w:qFormat/>
    <w:uiPriority w:val="0"/>
    <w:pPr>
      <w:pBdr>
        <w:bottom w:val="single" w:color="auto" w:sz="6" w:space="1"/>
      </w:pBdr>
      <w:jc w:val="center"/>
    </w:pPr>
    <w:rPr>
      <w:rFonts w:ascii="Arial" w:hAnsi="Arial" w:eastAsia="宋体" w:cs="Arial"/>
      <w:vanish/>
      <w:sz w:val="16"/>
      <w:szCs w:val="16"/>
    </w:rPr>
  </w:style>
  <w:style w:type="character" w:customStyle="1" w:styleId="14">
    <w:name w:val="z-窗体顶端 Char"/>
    <w:basedOn w:val="7"/>
    <w:link w:val="13"/>
    <w:semiHidden/>
    <w:uiPriority w:val="0"/>
    <w:rPr>
      <w:rFonts w:ascii="Arial" w:hAnsi="Arial" w:eastAsia="宋体" w:cs="Arial"/>
      <w:vanish/>
      <w:sz w:val="16"/>
      <w:szCs w:val="16"/>
    </w:rPr>
  </w:style>
  <w:style w:type="paragraph" w:customStyle="1" w:styleId="15">
    <w:name w:val="HTML Bottom of Form"/>
    <w:basedOn w:val="1"/>
    <w:next w:val="1"/>
    <w:link w:val="16"/>
    <w:semiHidden/>
    <w:unhideWhenUsed/>
    <w:qFormat/>
    <w:uiPriority w:val="0"/>
    <w:pPr>
      <w:pBdr>
        <w:top w:val="single" w:color="auto" w:sz="6" w:space="1"/>
      </w:pBdr>
      <w:jc w:val="center"/>
    </w:pPr>
    <w:rPr>
      <w:rFonts w:ascii="Arial" w:hAnsi="Arial" w:eastAsia="宋体" w:cs="Arial"/>
      <w:vanish/>
      <w:sz w:val="16"/>
      <w:szCs w:val="16"/>
    </w:rPr>
  </w:style>
  <w:style w:type="character" w:customStyle="1" w:styleId="16">
    <w:name w:val="z-窗体底端 Char"/>
    <w:basedOn w:val="7"/>
    <w:link w:val="15"/>
    <w:semiHidden/>
    <w:qFormat/>
    <w:uiPriority w:val="0"/>
    <w:rPr>
      <w:rFonts w:ascii="Arial" w:hAnsi="Arial" w:eastAsia="宋体" w:cs="Arial"/>
      <w:vanish/>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3732B6-0823-4333-8617-1F4AF78F3F6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861</Words>
  <Characters>4908</Characters>
  <Lines>40</Lines>
  <Paragraphs>11</Paragraphs>
  <TotalTime>1</TotalTime>
  <ScaleCrop>false</ScaleCrop>
  <LinksUpToDate>false</LinksUpToDate>
  <CharactersWithSpaces>5758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2016-09-18T07:20:00Z</dcterms:created>
  <dc:creator>王玉</dc:creator>
  <cp:lastModifiedBy>王沈莉</cp:lastModifiedBy>
  <cp:lastPrinted>2019-12-19T07:27:00Z</cp:lastPrinted>
  <dcterms:modified xsi:type="dcterms:W3CDTF">2021-11-04T06:35:05Z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