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25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面试（教材）</w:t>
      </w:r>
    </w:p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666"/>
        <w:gridCol w:w="1691"/>
        <w:gridCol w:w="3130"/>
        <w:gridCol w:w="3937"/>
        <w:gridCol w:w="355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学段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学科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教材名称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出版社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版次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义务教育教科书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（语文）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人民教育出版社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baseline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  <w:vertAlign w:val="baseline"/>
              </w:rPr>
              <w:t>教育部审定2018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baseline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  <w:vertAlign w:val="baseline"/>
              </w:rPr>
              <w:t>2018年8月第1版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baseline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  <w:vertAlign w:val="baseline"/>
              </w:rPr>
              <w:t>三年级（上册）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义务教育教科书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（数学）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北京师范大学出版社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baseline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  <w:vertAlign w:val="baseline"/>
              </w:rPr>
              <w:t>教育部审定2013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baseline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  <w:vertAlign w:val="baseline"/>
              </w:rPr>
              <w:t>2014年6月第1版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baseline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  <w:vertAlign w:val="baseline"/>
              </w:rPr>
              <w:t> 三年级（上册）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2021-08-20T10:11:57Z</dcterms:created>
  <dc:creator>Administrator</dc:creator>
  <cp:lastModifiedBy>那时花开咖啡馆。</cp:lastModifiedBy>
  <dcterms:modified xsi:type="dcterms:W3CDTF">2021-08-20T10:12:00Z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2E753582E4204C7DA47A0DE4625DB855</vt:lpwstr>
  </property>
</Properties>
</file>