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附件2-1</w:t>
      </w:r>
    </w:p>
    <w:p>
      <w:pPr>
        <w:keepNext w:val="0"/>
        <w:keepLines w:val="0"/>
        <w:pageBreakBefore w:val="0"/>
        <w:widowControl w:val="0"/>
        <w:kinsoku/>
        <w:wordWrap/>
        <w:overflowPunct/>
        <w:topLinePunct w:val="0"/>
        <w:autoSpaceDE/>
        <w:autoSpaceDN/>
        <w:bidi w:val="0"/>
        <w:adjustRightInd/>
        <w:snapToGrid/>
        <w:spacing w:before="313" w:beforeLines="100"/>
        <w:ind w:firstLine="402" w:firstLineChars="100"/>
        <w:jc w:val="center"/>
        <w:textAlignment w:val="auto"/>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桂林市高层次人才分类目录</w:t>
      </w:r>
    </w:p>
    <w:p>
      <w:pPr>
        <w:keepNext w:val="0"/>
        <w:keepLines w:val="0"/>
        <w:pageBreakBefore w:val="0"/>
        <w:widowControl w:val="0"/>
        <w:kinsoku/>
        <w:wordWrap/>
        <w:overflowPunct/>
        <w:topLinePunct w:val="0"/>
        <w:autoSpaceDE/>
        <w:autoSpaceDN/>
        <w:bidi w:val="0"/>
        <w:adjustRightInd/>
        <w:snapToGrid/>
        <w:spacing w:after="313" w:afterLines="100"/>
        <w:ind w:firstLine="321" w:firstLineChars="10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（第五至第六类人才）</w:t>
      </w:r>
    </w:p>
    <w:p>
      <w:pPr>
        <w:ind w:firstLine="643" w:firstLineChars="20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第五类人才：</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rPr>
        <w:t>国家百千万知识产权人才工程百名高层次人才培养人选;</w:t>
      </w:r>
    </w:p>
    <w:p>
      <w:pPr>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2.全国专利信息师资人才;</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3.国家卫生计生突出贡献中青年专家;</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4.近5年获“全国优秀企业家”称号;</w:t>
      </w:r>
    </w:p>
    <w:p>
      <w:pPr>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lang w:val="en-US" w:eastAsia="zh-CN"/>
        </w:rPr>
        <w:t>5.</w:t>
      </w:r>
      <w:r>
        <w:rPr>
          <w:rFonts w:hint="eastAsia" w:ascii="仿宋" w:hAnsi="仿宋" w:eastAsia="仿宋" w:cs="仿宋"/>
          <w:sz w:val="30"/>
          <w:szCs w:val="30"/>
        </w:rPr>
        <w:t>近5年全国创新争先奖章获得者;</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6.近5年省部级自然科学奖、技术发明奖、科技进步奖三等奖项目的主持人;</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7</w:t>
      </w:r>
      <w:r>
        <w:rPr>
          <w:rFonts w:hint="eastAsia" w:ascii="仿宋" w:hAnsi="仿宋" w:eastAsia="仿宋" w:cs="仿宋"/>
          <w:sz w:val="30"/>
          <w:szCs w:val="30"/>
          <w:lang w:eastAsia="zh-CN"/>
        </w:rPr>
        <w:t>.</w:t>
      </w:r>
      <w:r>
        <w:rPr>
          <w:rFonts w:hint="eastAsia" w:ascii="仿宋" w:hAnsi="仿宋" w:eastAsia="仿宋" w:cs="仿宋"/>
          <w:sz w:val="30"/>
          <w:szCs w:val="30"/>
        </w:rPr>
        <w:t>近5年担任过省部级重点实验室、工程实验室、工程技术研究中心和工程研究中心主任;</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8.</w:t>
      </w:r>
      <w:r>
        <w:rPr>
          <w:rFonts w:hint="eastAsia" w:ascii="仿宋" w:hAnsi="仿宋" w:eastAsia="仿宋" w:cs="仿宋"/>
          <w:sz w:val="30"/>
          <w:szCs w:val="30"/>
          <w:lang w:val="en-US" w:eastAsia="zh-CN"/>
        </w:rPr>
        <w:t>自</w:t>
      </w:r>
      <w:r>
        <w:rPr>
          <w:rFonts w:hint="eastAsia" w:ascii="仿宋" w:hAnsi="仿宋" w:eastAsia="仿宋" w:cs="仿宋"/>
          <w:sz w:val="30"/>
          <w:szCs w:val="30"/>
        </w:rPr>
        <w:t>治区优秀专家;</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9.近5年担任过中国500强企业总部副总级别以上的管理人才及与之级别相当的专业技术人员;</w:t>
      </w:r>
    </w:p>
    <w:p>
      <w:pPr>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10.近5年获得中国博士后科学基金资助的出站留(来)我市工作的博士后;</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11.获得“双一流”高校全日制博士学位人员(含定向选调生)。</w:t>
      </w:r>
    </w:p>
    <w:p>
      <w:pPr>
        <w:ind w:firstLine="1080" w:firstLineChars="300"/>
        <w:jc w:val="both"/>
        <w:rPr>
          <w:rFonts w:hint="eastAsia" w:ascii="仿宋" w:hAnsi="仿宋" w:eastAsia="仿宋" w:cs="仿宋"/>
          <w:sz w:val="36"/>
          <w:szCs w:val="36"/>
        </w:rPr>
      </w:pPr>
    </w:p>
    <w:p>
      <w:pPr>
        <w:jc w:val="both"/>
        <w:rPr>
          <w:rFonts w:hint="eastAsia" w:ascii="仿宋" w:hAnsi="仿宋" w:eastAsia="仿宋" w:cs="仿宋"/>
          <w:sz w:val="36"/>
          <w:szCs w:val="36"/>
        </w:rPr>
      </w:pPr>
    </w:p>
    <w:p>
      <w:pPr>
        <w:jc w:val="both"/>
        <w:rPr>
          <w:rFonts w:hint="eastAsia" w:ascii="仿宋" w:hAnsi="仿宋" w:eastAsia="仿宋" w:cs="仿宋"/>
          <w:b/>
          <w:bCs/>
          <w:sz w:val="32"/>
          <w:szCs w:val="32"/>
          <w:lang w:val="en-US" w:eastAsia="zh-CN"/>
        </w:rPr>
      </w:pPr>
    </w:p>
    <w:p>
      <w:pPr>
        <w:ind w:firstLine="643" w:firstLineChars="200"/>
        <w:jc w:val="both"/>
        <w:rPr>
          <w:rFonts w:hint="default"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val="en-US" w:eastAsia="zh-CN"/>
        </w:rPr>
        <w:t>第六类人才：</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1.近5年广西创新争先奖获得者(个人奖);</w:t>
      </w:r>
    </w:p>
    <w:p>
      <w:pPr>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2.近5年广西杰出工程师奖获得者</w:t>
      </w:r>
      <w:r>
        <w:rPr>
          <w:rFonts w:hint="eastAsia" w:ascii="仿宋" w:hAnsi="仿宋" w:eastAsia="仿宋" w:cs="仿宋"/>
          <w:sz w:val="30"/>
          <w:szCs w:val="30"/>
          <w:lang w:eastAsia="zh-CN"/>
        </w:rPr>
        <w:t>；</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3.广西青年科技奖获得者;</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4.获得省级“技能大奖”和“技术能手”的高技能人才;</w:t>
      </w:r>
    </w:p>
    <w:p>
      <w:pPr>
        <w:ind w:firstLine="600" w:firstLineChars="200"/>
        <w:jc w:val="left"/>
        <w:rPr>
          <w:rFonts w:hint="eastAsia" w:ascii="仿宋" w:hAnsi="仿宋" w:eastAsia="仿宋" w:cs="仿宋"/>
          <w:sz w:val="30"/>
          <w:szCs w:val="30"/>
          <w:lang w:eastAsia="zh-CN"/>
        </w:rPr>
      </w:pPr>
      <w:r>
        <w:rPr>
          <w:rFonts w:hint="eastAsia" w:ascii="仿宋" w:hAnsi="仿宋" w:eastAsia="仿宋" w:cs="仿宋"/>
          <w:sz w:val="30"/>
          <w:szCs w:val="30"/>
        </w:rPr>
        <w:t>5.获得正高级专业技术资格人员;</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6.获得高级技师职业资格人员;</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7.获得全日制高校博士学位人员;</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8.获得“双一流”高校全日制硕士学位人员(含定向选调生);</w:t>
      </w:r>
    </w:p>
    <w:p>
      <w:pPr>
        <w:ind w:firstLine="600" w:firstLineChars="200"/>
        <w:jc w:val="left"/>
        <w:rPr>
          <w:rFonts w:hint="eastAsia"/>
          <w:sz w:val="30"/>
          <w:szCs w:val="30"/>
        </w:rPr>
      </w:pPr>
      <w:r>
        <w:rPr>
          <w:rFonts w:hint="eastAsia" w:ascii="仿宋" w:hAnsi="仿宋" w:eastAsia="仿宋" w:cs="仿宋"/>
          <w:sz w:val="30"/>
          <w:szCs w:val="30"/>
        </w:rPr>
        <w:t>9.广西医学高层次人才培养计划领军人才。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04232"/>
    <w:rsid w:val="27E44330"/>
    <w:rsid w:val="34A04232"/>
    <w:rsid w:val="50A027F0"/>
    <w:rsid w:val="51CC69CD"/>
    <w:rsid w:val="68703540"/>
    <w:rsid w:val="72630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rebuchet MS" w:hAnsi="Trebuchet MS" w:eastAsiaTheme="minorEastAsia" w:cstheme="minorBidi"/>
      <w:kern w:val="2"/>
      <w:sz w:val="44"/>
      <w:szCs w:val="4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Words>
  <Characters>494</Characters>
  <Lines>0</Lines>
  <Paragraphs>0</Paragraphs>
  <TotalTime>8</TotalTime>
  <ScaleCrop>false</ScaleCrop>
  <LinksUpToDate>false</LinksUpToDate>
  <CharactersWithSpaces>494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2021-06-16T01:48:00Z</dcterms:created>
  <dc:creator>ぺ橘子汽水</dc:creator>
  <cp:lastModifiedBy>ぺ橘子汽水</cp:lastModifiedBy>
  <dcterms:modified xsi:type="dcterms:W3CDTF">2021-06-28T09:09:02Z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A4F0C207008748769CD57DB2C56D4BD2</vt:lpwstr>
  </property>
</Properties>
</file>